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240"/>
        <w:jc w:val="center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240"/>
        <w:jc w:val="center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240"/>
        <w:jc w:val="center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rPr/>
      </w:pPr>
      <w:r>
        <w:rPr/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1140460</wp:posOffset>
            </wp:positionH>
            <wp:positionV relativeFrom="paragraph">
              <wp:posOffset>196215</wp:posOffset>
            </wp:positionV>
            <wp:extent cx="3524885" cy="1514475"/>
            <wp:effectExtent l="0" t="0" r="0" b="0"/>
            <wp:wrapNone/>
            <wp:docPr id="1" name="Obrázok 2" descr="logofinal kriv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2" descr="logofinal krivky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26276" t="11115" r="29094" b="75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88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>
          <w:b/>
          <w:b/>
          <w:sz w:val="48"/>
        </w:rPr>
      </w:pPr>
      <w:r>
        <w:rPr>
          <w:b/>
          <w:sz w:val="48"/>
        </w:rPr>
        <w:t>D.1.1. TECHNICKÁ ZPRÁVA</w:t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40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spacing w:lineRule="auto" w:line="276" w:before="0" w:after="0"/>
        <w:rPr>
          <w:b/>
          <w:b/>
        </w:rPr>
      </w:pPr>
      <w:r>
        <w:rPr/>
        <w:t>Název akce:</w:t>
        <w:tab/>
        <w:tab/>
      </w:r>
      <w:r>
        <w:rPr>
          <w:b/>
        </w:rPr>
        <w:t>REKONSTRUKCE BYTOVÉ JEDNOTKY</w:t>
      </w:r>
    </w:p>
    <w:p>
      <w:pPr>
        <w:pStyle w:val="Normal"/>
        <w:spacing w:lineRule="auto" w:line="276" w:before="0" w:after="0"/>
        <w:ind w:left="1416" w:firstLine="708"/>
        <w:rPr>
          <w:b/>
          <w:b/>
        </w:rPr>
      </w:pPr>
      <w:r>
        <w:rPr>
          <w:b/>
        </w:rPr>
        <w:t>na adrese Zemědělská 124, 664 63 Žabčice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Investor:</w:t>
        <w:tab/>
        <w:tab/>
      </w:r>
      <w:bookmarkStart w:id="0" w:name="_Hlk69988490"/>
      <w:r>
        <w:rPr/>
        <w:t>Mendelova univerzita v Brně</w:t>
      </w:r>
    </w:p>
    <w:p>
      <w:pPr>
        <w:pStyle w:val="Normal"/>
        <w:spacing w:lineRule="auto" w:line="276" w:before="0" w:after="0"/>
        <w:ind w:left="1416" w:firstLine="708"/>
        <w:rPr/>
      </w:pPr>
      <w:r>
        <w:rPr/>
        <w:t>Zemědělská 1665/1, Černá Pole, 61300 Brno</w:t>
      </w:r>
      <w:bookmarkEnd w:id="0"/>
      <w:r>
        <w:rPr/>
        <w:tab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Datum:</w:t>
        <w:tab/>
        <w:tab/>
        <w:t>duben 2020</w:t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Vypracoval:</w:t>
        <w:tab/>
        <w:tab/>
        <w:t>Ing. František Jurka</w:t>
      </w:r>
    </w:p>
    <w:p>
      <w:pPr>
        <w:pStyle w:val="Normal"/>
        <w:spacing w:lineRule="auto" w:line="360" w:before="0" w:after="0"/>
        <w:rPr/>
      </w:pPr>
      <w:r>
        <w:rPr/>
      </w:r>
    </w:p>
    <w:p>
      <w:pPr>
        <w:pStyle w:val="Normal"/>
        <w:spacing w:lineRule="auto" w:line="360" w:before="0" w:after="0"/>
        <w:rPr/>
      </w:pPr>
      <w:r>
        <w:rPr/>
        <w:t>Zodp. projektant:</w:t>
        <w:tab/>
        <w:t>Ing. Jaroslav Pezlar</w:t>
      </w:r>
      <w:bookmarkStart w:id="1" w:name="_Hlk69988542"/>
      <w:bookmarkEnd w:id="1"/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tabs>
              <w:tab w:val="clear" w:pos="708"/>
              <w:tab w:val="center" w:pos="4535" w:leader="none"/>
            </w:tabs>
            <w:rPr>
              <w:rFonts w:ascii="Calibri" w:hAnsi="Calibri" w:asciiTheme="minorHAnsi" w:hAnsiTheme="minorHAnsi"/>
              <w:color w:val="auto"/>
            </w:rPr>
          </w:pPr>
          <w:r>
            <w:rPr>
              <w:rFonts w:ascii="Calibri" w:hAnsi="Calibri" w:asciiTheme="minorHAnsi" w:hAnsiTheme="minorHAnsi"/>
              <w:color w:val="auto"/>
            </w:rPr>
            <w:t>Obsah</w:t>
            <w:tab/>
          </w:r>
        </w:p>
        <w:p>
          <w:pPr>
            <w:pStyle w:val="Obsah1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r>
            <w:fldChar w:fldCharType="begin"/>
          </w:r>
          <w:r>
            <w:rPr>
              <w:webHidden/>
              <w:rStyle w:val="Odkaznarejstk"/>
            </w:rPr>
            <w:instrText> TOC \z \o "1-3" \u \h</w:instrText>
          </w:r>
          <w:r>
            <w:rPr>
              <w:webHidden/>
              <w:rStyle w:val="Odkaznarejstk"/>
            </w:rPr>
            <w:fldChar w:fldCharType="separate"/>
          </w:r>
          <w:hyperlink w:anchor="_Toc39728715">
            <w:r>
              <w:rPr>
                <w:webHidden/>
                <w:rStyle w:val="Odkaznarejstk"/>
              </w:rPr>
              <w:t>D.1.1.1 Úvod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_Toc39728715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16">
            <w:r>
              <w:rPr>
                <w:webHidden/>
                <w:rStyle w:val="Odkaznarejstk"/>
              </w:rPr>
              <w:t>D.1.1.2 Účel objektu, funkční náplň, kapacitní údaje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_Toc39728716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17">
            <w:r>
              <w:rPr>
                <w:webHidden/>
                <w:rStyle w:val="Odkaznarejstk"/>
              </w:rPr>
              <w:t>D.1.1.3 Architektonické, výtvarné, materiálové a dispoziční řešení, bezbariérové užívaní stavby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_Toc39728717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18">
            <w:r>
              <w:rPr>
                <w:webHidden/>
                <w:rStyle w:val="Odkaznarejstk"/>
              </w:rPr>
              <w:t>D.1.1.4 Konstrukční a stavebně technické řešení, technické vlastnosti stavby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_Toc39728718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19">
            <w:r>
              <w:rPr>
                <w:webHidden/>
                <w:rStyle w:val="Odkaznarejstk"/>
              </w:rPr>
              <w:t>1. Bourací práce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_Toc39728719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0">
            <w:r>
              <w:rPr>
                <w:webHidden/>
                <w:rStyle w:val="Odkaznarejstk"/>
                <w:rFonts w:cs="Calibri" w:cstheme="minorHAnsi"/>
              </w:rPr>
              <w:t>2. Konstrukce svislé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1">
            <w:r>
              <w:rPr>
                <w:webHidden/>
                <w:rStyle w:val="Odkaznarejstk"/>
                <w:rFonts w:cs="Calibri" w:cstheme="minorHAnsi"/>
              </w:rPr>
              <w:t>2.1 Nosné stěny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2">
            <w:r>
              <w:rPr>
                <w:webHidden/>
                <w:rStyle w:val="Odkaznarejstk"/>
                <w:rFonts w:cs="Calibri" w:cstheme="minorHAnsi"/>
              </w:rPr>
              <w:t>2.2 Konstrukce montované - příčky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3">
            <w:r>
              <w:rPr>
                <w:webHidden/>
                <w:rStyle w:val="Odkaznarejstk"/>
                <w:rFonts w:cs="Calibri" w:cstheme="minorHAnsi"/>
              </w:rPr>
              <w:t>2.3 Konstrukce montované - předstěny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4">
            <w:r>
              <w:rPr>
                <w:webHidden/>
                <w:rStyle w:val="Odkaznarejstk"/>
                <w:rFonts w:cs="Calibri" w:cstheme="minorHAnsi"/>
              </w:rPr>
              <w:t>3. Úpravy povrchu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5">
            <w:r>
              <w:rPr>
                <w:webHidden/>
                <w:rStyle w:val="Odkaznarejstk"/>
                <w:rFonts w:cs="Calibri" w:cstheme="minorHAnsi"/>
              </w:rPr>
              <w:t>3.1 Omítky vnitřní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6">
            <w:r>
              <w:rPr>
                <w:webHidden/>
                <w:rStyle w:val="Odkaznarejstk"/>
                <w:rFonts w:cs="Calibri" w:cstheme="minorHAnsi"/>
              </w:rPr>
              <w:t>3.2 Malby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7">
            <w:r>
              <w:rPr>
                <w:webHidden/>
                <w:rStyle w:val="Odkaznarejstk"/>
                <w:rFonts w:cs="Calibri" w:cstheme="minorHAnsi"/>
              </w:rPr>
              <w:t>3.3 Obklady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8">
            <w:r>
              <w:rPr>
                <w:webHidden/>
                <w:rStyle w:val="Odkaznarejstk"/>
                <w:rFonts w:cs="Calibri" w:cstheme="minorHAnsi"/>
              </w:rPr>
              <w:t>4. Podlahy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29">
            <w:r>
              <w:rPr>
                <w:webHidden/>
                <w:rStyle w:val="Odkaznarejstk"/>
              </w:rPr>
              <w:t>4.1 Nášlapná vrstva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_Toc39728729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30">
            <w:r>
              <w:rPr>
                <w:webHidden/>
                <w:rStyle w:val="Odkaznarejstk"/>
                <w:rFonts w:cs="Calibri" w:cstheme="minorHAnsi"/>
              </w:rPr>
              <w:t>5. Izolace tepelné/akustické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_Toc39728730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31">
            <w:r>
              <w:rPr>
                <w:webHidden/>
                <w:rStyle w:val="Odkaznarejstk"/>
                <w:rFonts w:cs="Calibri" w:cstheme="minorHAnsi"/>
              </w:rPr>
              <w:t>6. Ostatní konstrukce a úpravy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_Toc39728731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right" w:pos="9060" w:leader="dot"/>
            </w:tabs>
            <w:rPr>
              <w:rFonts w:eastAsia="" w:eastAsiaTheme="minorEastAsia"/>
              <w:sz w:val="22"/>
              <w:lang w:eastAsia="cs-CZ"/>
            </w:rPr>
          </w:pPr>
          <w:hyperlink w:anchor="_Toc39728732">
            <w:r>
              <w:rPr>
                <w:webHidden/>
                <w:rStyle w:val="Odkaznarejstk"/>
                <w:rFonts w:cs="Calibri" w:cstheme="minorHAnsi"/>
              </w:rPr>
              <w:t>D.1.1.5 Dodržení všeobecných požadavek na výstavbu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_Toc39728732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adpis1"/>
        <w:rPr/>
      </w:pPr>
      <w:bookmarkStart w:id="2" w:name="_Toc39728715"/>
      <w:r>
        <w:rPr/>
        <w:t>D.1.1.1 Úvod</w:t>
      </w:r>
      <w:bookmarkEnd w:id="2"/>
    </w:p>
    <w:p>
      <w:pPr>
        <w:pStyle w:val="Normal"/>
        <w:spacing w:lineRule="auto" w:line="276"/>
        <w:rPr/>
      </w:pPr>
      <w:r>
        <w:rPr/>
        <w:t>Stavební část projektové dokumentace je zpracována ve stupni pro provádění stavby DPS. Projekt podle vyhlášky 405/2017 Sb. nezahrnuje dokumentaci pomocných prací, výrobní, technickou dokumentaci a dokumentaci výrobků, kterou si zpracovává dodavatel stavby sám a schvaluje ji s technickým dozorem nebo s investorem. V případě nesouhlasných údajů v jednotlivých částech PD je povinností zhotovitele informovat o této skutečnosti projektanta a ověřit si platnost sporných údajů. Dokumentace je zpracována v souladu se souvisejícími ČSN, technickými podklady výrobců a protokolů o zatížení a vnitřním prostředí dohodnutých s investorem. Záměny materiálů a výrobků se považují za změnu PD.</w:t>
      </w:r>
    </w:p>
    <w:p>
      <w:pPr>
        <w:pStyle w:val="Nadpis1"/>
        <w:rPr/>
      </w:pPr>
      <w:bookmarkStart w:id="3" w:name="_Toc39728716"/>
      <w:r>
        <w:rPr/>
        <w:t>D.1.1.2 Účel objektu, funkční náplň, kapacitní údaje</w:t>
      </w:r>
      <w:bookmarkEnd w:id="3"/>
    </w:p>
    <w:p>
      <w:pPr>
        <w:pStyle w:val="Normal"/>
        <w:spacing w:before="120" w:after="120"/>
        <w:rPr/>
      </w:pPr>
      <w:r>
        <w:rPr/>
        <w:t>Jedná se o rekonstrukci bytové jednotky, která bude přestavěna na dvě samostatné bytové jednotky, každá se samostatným vstupem</w:t>
      </w:r>
    </w:p>
    <w:p>
      <w:pPr>
        <w:pStyle w:val="Normal"/>
        <w:spacing w:before="0" w:after="0"/>
        <w:rPr/>
      </w:pPr>
      <w:bookmarkStart w:id="4" w:name="_Toc430381150"/>
      <w:r>
        <w:rPr/>
        <w:t>Počet bytů původní:</w:t>
        <w:tab/>
        <w:tab/>
        <w:tab/>
        <w:tab/>
        <w:tab/>
        <w:tab/>
        <w:t>1</w:t>
      </w:r>
    </w:p>
    <w:p>
      <w:pPr>
        <w:pStyle w:val="Normal"/>
        <w:spacing w:before="0" w:after="0"/>
        <w:rPr/>
      </w:pPr>
      <w:r>
        <w:rPr/>
        <w:t>Počet bytů nový:</w:t>
        <w:tab/>
        <w:tab/>
        <w:tab/>
        <w:tab/>
        <w:tab/>
        <w:tab/>
        <w:t>2</w:t>
      </w:r>
    </w:p>
    <w:p>
      <w:pPr>
        <w:pStyle w:val="Normal"/>
        <w:spacing w:before="0" w:after="0"/>
        <w:rPr/>
      </w:pPr>
      <w:r>
        <w:rPr/>
        <w:t xml:space="preserve">Plocha původní bytové jednotky:    </w:t>
        <w:tab/>
        <w:tab/>
        <w:tab/>
        <w:tab/>
        <w:t>76,3 m</w:t>
      </w:r>
      <w:r>
        <w:rPr>
          <w:vertAlign w:val="superscript"/>
        </w:rPr>
        <w:t>2</w:t>
      </w:r>
      <w:r>
        <w:rPr/>
        <w:t xml:space="preserve">  </w:t>
      </w:r>
    </w:p>
    <w:p>
      <w:pPr>
        <w:pStyle w:val="Normal"/>
        <w:spacing w:before="120" w:after="120"/>
        <w:rPr/>
      </w:pPr>
      <w:r>
        <w:rPr/>
        <w:t>Plocha nových bytových jednotek:</w:t>
        <w:tab/>
      </w:r>
    </w:p>
    <w:p>
      <w:pPr>
        <w:pStyle w:val="Normal"/>
        <w:spacing w:before="0" w:after="0"/>
        <w:ind w:firstLine="708"/>
        <w:rPr/>
      </w:pPr>
      <w:r>
        <w:rPr/>
        <w:t>byt č. 1</w:t>
        <w:tab/>
        <w:tab/>
        <w:tab/>
        <w:tab/>
        <w:tab/>
        <w:t>1+1</w:t>
        <w:tab/>
        <w:tab/>
        <w:t>35,70 m</w:t>
      </w:r>
      <w:r>
        <w:rPr>
          <w:vertAlign w:val="superscript"/>
        </w:rPr>
        <w:t>2</w:t>
      </w:r>
    </w:p>
    <w:p>
      <w:pPr>
        <w:pStyle w:val="Normal"/>
        <w:spacing w:before="0" w:after="0"/>
        <w:ind w:firstLine="708"/>
        <w:rPr/>
      </w:pPr>
      <w:r>
        <w:rPr/>
        <w:t>byt č. 2</w:t>
        <w:tab/>
        <w:tab/>
        <w:tab/>
        <w:tab/>
        <w:tab/>
        <w:t>1+1</w:t>
        <w:tab/>
        <w:tab/>
        <w:t>39,70 m</w:t>
      </w:r>
      <w:r>
        <w:rPr>
          <w:vertAlign w:val="superscript"/>
        </w:rPr>
        <w:t>2</w:t>
      </w:r>
    </w:p>
    <w:p>
      <w:pPr>
        <w:pStyle w:val="Nadpis1"/>
        <w:rPr/>
      </w:pPr>
      <w:bookmarkStart w:id="5" w:name="_Toc430381150"/>
      <w:bookmarkStart w:id="6" w:name="_Toc39728717"/>
      <w:r>
        <w:rPr/>
        <w:t>D.1.1.3 Architektonické, výtvarné, materiálové a dispoziční řešení, bezbariérové užívaní stavby</w:t>
      </w:r>
      <w:bookmarkEnd w:id="5"/>
      <w:bookmarkEnd w:id="6"/>
    </w:p>
    <w:p>
      <w:pPr>
        <w:pStyle w:val="Normal"/>
        <w:spacing w:lineRule="auto" w:line="276" w:before="0" w:after="0"/>
        <w:rPr/>
      </w:pPr>
      <w:r>
        <w:rPr/>
        <w:t xml:space="preserve">Jedná se o vnitřní rekonstrukci bytové jednotky, která bude obsahovat </w:t>
      </w:r>
      <w:r>
        <w:rPr/>
        <w:t xml:space="preserve">úplnou </w:t>
      </w:r>
      <w:r>
        <w:rPr/>
        <w:t xml:space="preserve"> renovaci povrchových úprav stěn, nové nášlapné vrstvy podlah, </w:t>
      </w:r>
      <w:r>
        <w:rPr/>
        <w:t>rozsáhlé sanační práce , izolace obvodového i vnitřního  zdiva podřezáním</w:t>
      </w:r>
      <w:r>
        <w:rPr/>
        <w:t xml:space="preserve"> a dispoziční změny. Dojde k rozdělení stávajícího bytu na dvě samostatné bytové jednotky s vlastními vstupy. Rekonstrukce také počítá s komplexní výměnou elektro rozvodů, instalací nových plynových kotlů, pro každou jednotku vlastní kotel, včetně topení a výměnou stávajících rozvodů ZTI. Veškeré profese jsou zpracovány samostatně.</w:t>
      </w:r>
    </w:p>
    <w:p>
      <w:pPr>
        <w:pStyle w:val="Normal"/>
        <w:spacing w:lineRule="auto" w:line="276" w:before="0" w:after="0"/>
        <w:rPr/>
      </w:pPr>
      <w:r>
        <w:rPr/>
        <w:t>Stavba je navržena v souladu s požadavky vyhlášky 268/2009 Sb. ve znění 20/2012 Sb., 323/2017 Sb. Stavba není řešena pro užívání osobami s omezenou schopností pohybu dle vyhlášky 398/08 Sb.</w:t>
      </w:r>
    </w:p>
    <w:p>
      <w:pPr>
        <w:pStyle w:val="Nadpis1"/>
        <w:rPr/>
      </w:pPr>
      <w:bookmarkStart w:id="7" w:name="_Toc39728718"/>
      <w:bookmarkStart w:id="8" w:name="_Toc430381151"/>
      <w:r>
        <w:rPr/>
        <w:t>D.1.1.4 Konstrukční a stavebně technické řešení, technické vlastnosti stavby</w:t>
      </w:r>
      <w:bookmarkEnd w:id="7"/>
      <w:bookmarkEnd w:id="8"/>
    </w:p>
    <w:p>
      <w:pPr>
        <w:pStyle w:val="Nadpis2"/>
        <w:rPr/>
      </w:pPr>
      <w:bookmarkStart w:id="9" w:name="_Toc440230499"/>
      <w:bookmarkStart w:id="10" w:name="_Toc39728719"/>
      <w:bookmarkStart w:id="11" w:name="_Toc517291261"/>
      <w:bookmarkStart w:id="12" w:name="_Toc482180285"/>
      <w:bookmarkEnd w:id="9"/>
      <w:r>
        <w:rPr/>
        <w:t>1. Bourací práce</w:t>
      </w:r>
      <w:bookmarkEnd w:id="10"/>
      <w:bookmarkEnd w:id="11"/>
      <w:bookmarkEnd w:id="12"/>
    </w:p>
    <w:p>
      <w:pPr>
        <w:pStyle w:val="Normal"/>
        <w:spacing w:lineRule="auto" w:line="276" w:before="0" w:after="0"/>
        <w:rPr/>
      </w:pPr>
      <w:r>
        <w:rPr/>
        <w:t xml:space="preserve">Zásady technologického postupu pro bourání se řídí Zákonem č. 183/2006 Sb., o územním plánování a stavebním řádu ze dne 1. 1. 2013. Hlava I: Stavby, terénní úpravy, zařízení a udržovací práce. Díl 3: Odstraňování staveb, terénních úprav a zařízení, </w:t>
      </w:r>
      <w:bookmarkStart w:id="13" w:name="par128"/>
      <w:r>
        <w:rPr/>
        <w:t>§ 128 Povolení odstranění stavby, terénních úprav a zařízení</w:t>
      </w:r>
      <w:bookmarkEnd w:id="13"/>
      <w:r>
        <w:rPr/>
        <w:t>.</w:t>
      </w:r>
    </w:p>
    <w:p>
      <w:pPr>
        <w:pStyle w:val="ListParagraph"/>
        <w:spacing w:lineRule="auto" w:line="276"/>
        <w:ind w:left="0" w:hanging="0"/>
        <w:rPr/>
      </w:pPr>
      <w:r>
        <w:rPr/>
        <w:t xml:space="preserve">Během provádění stavebních prací musí být striktně dodržovány ustanovení nařízení vlády </w:t>
        <w:br/>
        <w:t xml:space="preserve">č. 591/2006 Sb. a dále nařízení vlády č. 362/2005 Sb. Je nutno dbát bezpečnosti osob provádějících odstranění stavby, ale i osob pohybujících se v okolí stavby. Odpovědnost za bezpečnost spočívá na stavebním dozoru. </w:t>
      </w:r>
    </w:p>
    <w:p>
      <w:pPr>
        <w:pStyle w:val="Normal"/>
        <w:spacing w:lineRule="auto" w:line="276" w:before="0" w:after="0"/>
        <w:rPr/>
      </w:pPr>
      <w:r>
        <w:rPr/>
        <w:t>Dle zákona č.185/2001 (Zákon o odpadech) se musí odpad třídit a vést o něm evidence dle druhu, množství a způsobu nakládání s ním. Původce odpadů zařazuje odpady dle katalogu odpadů dle vyhlášky MŽP č.381/2001, Katalog odpadů.</w:t>
      </w:r>
    </w:p>
    <w:p>
      <w:pPr>
        <w:pStyle w:val="Normal"/>
        <w:spacing w:lineRule="auto" w:line="276" w:before="0" w:after="0"/>
        <w:rPr/>
      </w:pPr>
      <w:r>
        <w:rPr/>
        <w:t>Likvidace nebezpečných odpadů, které budou vznikat při bouracích pracích, bude prováděna odbornými firmami k těmto úkonům oprávněnými a disponujícími povolením orgánů státní správy k nakládání. Ostatní odpad, který není nutné likvidovat speciálně, bude likvidován běžným způsobem (technické služby, kovošrot,…) popřípadě bude recyklován a znovu využit na stavbě (například beton, neznečištěná zemina, atd.)</w:t>
      </w:r>
    </w:p>
    <w:p>
      <w:pPr>
        <w:pStyle w:val="Normal"/>
        <w:spacing w:lineRule="auto" w:line="276" w:before="0" w:after="0"/>
        <w:rPr/>
      </w:pPr>
      <w:r>
        <w:rPr/>
        <w:t>Odpady vzniklé při bouracích pracích jsou odpady skupiny č. 17 Stavební a demoliční odpady. Stavební odpad bude skladován ve velkoobjemových kontejnerech se zajištěním ochrany proti úniku (ztrátě) skladovaných odpadů.</w:t>
      </w:r>
    </w:p>
    <w:p>
      <w:pPr>
        <w:pStyle w:val="Normal"/>
        <w:spacing w:lineRule="auto" w:line="276"/>
        <w:rPr/>
      </w:pPr>
      <w:r>
        <w:rPr/>
        <w:t>Recyklovatelné odpady budou tříděny a skladovány odděleně, odvoz do sběrných surovin nebo k recyklaci.</w:t>
      </w:r>
    </w:p>
    <w:p>
      <w:pPr>
        <w:pStyle w:val="Normal"/>
        <w:spacing w:lineRule="auto" w:line="276"/>
        <w:rPr/>
      </w:pPr>
      <w:r>
        <w:rPr/>
        <w:t xml:space="preserve">V průběhu bouracích prací budou bourané konstrukce skrápěny vodou za účelem maximální eliminace prašnosti. Vybouraný materiál bude druhově tříděn a prvky – dále nevyužité pro nově navržené konstrukce - budou odvezeny na sjednané skládky dle předpisů o nakládání s odpady. </w:t>
      </w:r>
    </w:p>
    <w:p>
      <w:pPr>
        <w:pStyle w:val="Normal"/>
        <w:spacing w:lineRule="auto" w:line="276"/>
        <w:rPr/>
      </w:pPr>
      <w:r>
        <w:rPr/>
        <w:t xml:space="preserve">Při bouracích a demontážních pracích budou dodržovány platné bezpečnostní předpisy. Minimalizována bude hlučnost a prašnost prováděných úkonů. V případě zjištěných neobvyklých skutečností, budou bourací práce zastaveny a neprodleně bude přivolán stavebník, projektant a eventuálně statik. Provádění bouracích prací bude organizováno a dozorováno oprávněnou osobou stavbyvedoucího dle Zákona 360/1992 Sb. Na samotné bourací práce předloží generální dodavatel stavby relevantní pracovní postup vč. časového harmonogramu, který poskytne oprávněným osobám vykonávajícím autorský, technický dozor stavebníka a osobě dohlížející na ochranu a bezpečnost zdraví při práci k nahlédnutí a případnému připomínkování. </w:t>
      </w:r>
    </w:p>
    <w:p>
      <w:pPr>
        <w:pStyle w:val="Normal"/>
        <w:spacing w:before="0" w:after="0"/>
        <w:rPr>
          <w:u w:val="single"/>
        </w:rPr>
      </w:pPr>
      <w:r>
        <w:rPr>
          <w:u w:val="single"/>
        </w:rPr>
        <w:t>Přehled odpadů vzniklých při provádění částí stavby:</w:t>
      </w:r>
    </w:p>
    <w:tbl>
      <w:tblPr>
        <w:tblW w:w="636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059"/>
        <w:gridCol w:w="2041"/>
        <w:gridCol w:w="1260"/>
      </w:tblGrid>
      <w:tr>
        <w:trPr>
          <w:trHeight w:val="374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Beton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17 01 01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65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Cihly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17 01 02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Dlaždice, obklady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17 01 03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65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Dřevo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17 02 01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Plech pozinkovaný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17 04 04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B</w:t>
            </w:r>
          </w:p>
        </w:tc>
      </w:tr>
      <w:tr>
        <w:trPr>
          <w:trHeight w:val="365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Ocel - železo, potrubí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17 04 05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B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Kabely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17 04 11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A, B</w:t>
            </w:r>
          </w:p>
        </w:tc>
      </w:tr>
      <w:tr>
        <w:trPr>
          <w:trHeight w:val="365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Zemina a kamení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17 05 04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Zbytky tepelných izolací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17 06 04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Stavební materiál – sádra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17 08 02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  <w:tr>
        <w:trPr>
          <w:trHeight w:val="370" w:hRule="atLeast"/>
        </w:trPr>
        <w:tc>
          <w:tcPr>
            <w:tcW w:w="3059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Směsné stavební materiály</w:t>
            </w:r>
          </w:p>
        </w:tc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17 09 04</w:t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</w:t>
            </w:r>
          </w:p>
        </w:tc>
      </w:tr>
    </w:tbl>
    <w:p>
      <w:pPr>
        <w:pStyle w:val="Normal"/>
        <w:spacing w:before="0" w:after="0"/>
        <w:rPr/>
      </w:pPr>
      <w:r>
        <w:rPr/>
        <w:t>Výskyt nebezpečných odpadů (C) se nepředpokládá</w:t>
      </w:r>
    </w:p>
    <w:p>
      <w:pPr>
        <w:pStyle w:val="Normal"/>
        <w:spacing w:before="0" w:after="0"/>
        <w:rPr/>
      </w:pPr>
      <w:r>
        <w:rPr/>
        <w:t>Způsob likvidace odpadů:</w:t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  <w:t>A – odvoz na skládku</w:t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  <w:t>B – třídění, oddělené skladování, recyklace</w:t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  <w:t>C – odvoz na skládku nebezpečných odpadů</w:t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</w:r>
    </w:p>
    <w:p>
      <w:pPr>
        <w:pStyle w:val="Normalntext"/>
        <w:spacing w:before="120" w:after="240"/>
        <w:ind w:left="0" w:hanging="0"/>
        <w:rPr>
          <w:rFonts w:ascii="Calibri" w:hAnsi="Calibri" w:cs="Calibri" w:asciiTheme="minorHAnsi" w:cstheme="minorHAnsi" w:hAnsiTheme="minorHAnsi"/>
          <w:b/>
          <w:b/>
          <w:szCs w:val="24"/>
        </w:rPr>
      </w:pPr>
      <w:r>
        <w:rPr>
          <w:rFonts w:cs="Calibri" w:ascii="Calibri" w:hAnsi="Calibri" w:asciiTheme="minorHAnsi" w:cstheme="minorHAnsi" w:hAnsiTheme="minorHAnsi"/>
          <w:b/>
          <w:szCs w:val="24"/>
        </w:rPr>
        <w:t>V rámci bouracích prací je navrženo: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 xml:space="preserve">- bude provedeno vybourání  podlah </w:t>
      </w:r>
      <w:r>
        <w:rPr>
          <w:rFonts w:cs="Calibri" w:cstheme="minorHAnsi"/>
        </w:rPr>
        <w:t xml:space="preserve">včetně </w:t>
      </w:r>
      <w:r>
        <w:rPr>
          <w:rFonts w:cs="Calibri" w:cstheme="minorHAnsi"/>
        </w:rPr>
        <w:t xml:space="preserve"> stávající betonov</w:t>
      </w:r>
      <w:r>
        <w:rPr>
          <w:rFonts w:cs="Calibri" w:cstheme="minorHAnsi"/>
        </w:rPr>
        <w:t>é</w:t>
      </w:r>
      <w:r>
        <w:rPr>
          <w:rFonts w:cs="Calibri" w:cstheme="minorHAnsi"/>
        </w:rPr>
        <w:t xml:space="preserve"> mazanin</w:t>
      </w:r>
      <w:r>
        <w:rPr>
          <w:rFonts w:cs="Calibri" w:cstheme="minorHAnsi"/>
        </w:rPr>
        <w:t>y</w:t>
      </w:r>
      <w:r>
        <w:rPr>
          <w:rFonts w:cs="Calibri" w:cstheme="minorHAnsi"/>
        </w:rPr>
        <w:t>, zvýšená podlaha v místnosti 108 kuchyně bude vybourána včetně části skladby na úroveň, aby mohlo dojít ke sjednocení výšek podlah ve všech místnostech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>- bude provedena demontáž veškerých zařizovacích předmětů a kotle na tuhá paliva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>- bude provedeno odstranění všech stávajících keramických a dřevěných obkladů stěn včetně osekání degradované omítky v p</w:t>
      </w:r>
      <w:r>
        <w:rPr>
          <w:rFonts w:cs="Calibri" w:cstheme="minorHAnsi"/>
        </w:rPr>
        <w:t xml:space="preserve">lném </w:t>
      </w:r>
      <w:r>
        <w:rPr>
          <w:rFonts w:cs="Calibri" w:cstheme="minorHAnsi"/>
        </w:rPr>
        <w:t xml:space="preserve"> rozsahu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>- je navrženo oškrábání stávající malby na všech svislých konstrukcích a na všech stropech, v chodbě bude demontován podhled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>- je navrženo vybourání některých příček a demontáž některých otvorů</w:t>
      </w:r>
    </w:p>
    <w:p>
      <w:pPr>
        <w:pStyle w:val="Normal"/>
        <w:spacing w:lineRule="auto" w:line="240" w:before="0" w:after="0"/>
        <w:jc w:val="left"/>
        <w:rPr>
          <w:rFonts w:cs="Calibri" w:cstheme="minorHAnsi"/>
        </w:rPr>
      </w:pPr>
      <w:r>
        <w:rPr>
          <w:rFonts w:cs="Calibri" w:cstheme="minorHAnsi"/>
        </w:rPr>
        <w:t>- bude posouzena vhodnost ponechání vlysů z hlediska použitelnosti, v případě nemožnosti jejich dalšího použití jako nášlapné vrstvy, budou vybourány včetně podsypu, až na úroveň betonové mazaniny</w:t>
      </w:r>
      <w:bookmarkStart w:id="14" w:name="_Hlk69989363"/>
      <w:bookmarkEnd w:id="14"/>
    </w:p>
    <w:p>
      <w:pPr>
        <w:pStyle w:val="Normal"/>
        <w:spacing w:lineRule="auto" w:line="240" w:before="0" w:after="0"/>
        <w:jc w:val="left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adpis2"/>
        <w:spacing w:lineRule="auto" w:line="240"/>
        <w:rPr>
          <w:rFonts w:cs="Calibri" w:cstheme="minorHAnsi"/>
        </w:rPr>
      </w:pPr>
      <w:bookmarkStart w:id="15" w:name="_Toc440230499"/>
      <w:bookmarkStart w:id="16" w:name="_Toc39728720"/>
      <w:bookmarkStart w:id="17" w:name="_Toc528151820"/>
      <w:bookmarkStart w:id="18" w:name="_Toc440230505"/>
      <w:bookmarkEnd w:id="15"/>
      <w:r>
        <w:rPr>
          <w:rFonts w:cs="Calibri" w:cstheme="minorHAnsi"/>
        </w:rPr>
        <w:t>2. Konstrukce svislé</w:t>
      </w:r>
      <w:bookmarkEnd w:id="16"/>
      <w:bookmarkEnd w:id="17"/>
      <w:bookmarkEnd w:id="18"/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19" w:name="_Toc39728721"/>
      <w:bookmarkStart w:id="20" w:name="_Toc528151821"/>
      <w:bookmarkStart w:id="21" w:name="_Toc511726871"/>
      <w:bookmarkStart w:id="22" w:name="_Toc482180298"/>
      <w:r>
        <w:rPr>
          <w:rFonts w:cs="Calibri" w:cstheme="minorHAnsi"/>
          <w:sz w:val="24"/>
        </w:rPr>
        <w:t>2.1 Nosné stěny</w:t>
      </w:r>
      <w:bookmarkEnd w:id="19"/>
      <w:bookmarkEnd w:id="20"/>
      <w:bookmarkEnd w:id="21"/>
      <w:bookmarkEnd w:id="22"/>
      <w:r>
        <w:rPr>
          <w:rFonts w:cs="Calibri" w:cstheme="minorHAnsi"/>
          <w:sz w:val="24"/>
        </w:rPr>
        <w:t xml:space="preserve"> </w:t>
      </w:r>
    </w:p>
    <w:p>
      <w:pPr>
        <w:pStyle w:val="Normal"/>
        <w:spacing w:lineRule="auto" w:line="240"/>
        <w:rPr>
          <w:rFonts w:cs="Calibri" w:cstheme="minorHAnsi"/>
        </w:rPr>
      </w:pPr>
      <w:bookmarkStart w:id="23" w:name="_Toc457382388"/>
      <w:bookmarkStart w:id="24" w:name="_Toc440230507"/>
      <w:bookmarkEnd w:id="23"/>
      <w:bookmarkEnd w:id="24"/>
      <w:r>
        <w:rPr>
          <w:rFonts w:cs="Calibri" w:cstheme="minorHAnsi"/>
        </w:rPr>
        <w:t>Stávající zdivo je provedeno CPP na maltu vápenocementovou maltu. Pro dozdívky jsou navrženy plné pálené cihly na vápenocementovou maltu, nebo je možné vhodných keramických tvarovek na systémovou zdící maltu.</w:t>
      </w:r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25" w:name="_Toc457382388"/>
      <w:bookmarkStart w:id="26" w:name="_Toc440230507"/>
      <w:bookmarkStart w:id="27" w:name="_Toc39728722"/>
      <w:bookmarkStart w:id="28" w:name="_Toc528151822"/>
      <w:bookmarkStart w:id="29" w:name="_Toc511726873"/>
      <w:bookmarkStart w:id="30" w:name="_Toc482180300"/>
      <w:bookmarkEnd w:id="25"/>
      <w:bookmarkEnd w:id="26"/>
      <w:r>
        <w:rPr>
          <w:rFonts w:cs="Calibri" w:cstheme="minorHAnsi"/>
          <w:sz w:val="24"/>
        </w:rPr>
        <w:t>2.2 Konstrukce montované</w:t>
      </w:r>
      <w:bookmarkEnd w:id="28"/>
      <w:bookmarkEnd w:id="29"/>
      <w:bookmarkEnd w:id="30"/>
      <w:r>
        <w:rPr>
          <w:rFonts w:cs="Calibri" w:cstheme="minorHAnsi"/>
          <w:sz w:val="24"/>
        </w:rPr>
        <w:t xml:space="preserve"> - příčky</w:t>
      </w:r>
      <w:bookmarkEnd w:id="27"/>
    </w:p>
    <w:p>
      <w:pPr>
        <w:pStyle w:val="Normal"/>
        <w:spacing w:lineRule="auto" w:line="240"/>
        <w:rPr>
          <w:rFonts w:cs="Calibri" w:cstheme="minorHAnsi"/>
        </w:rPr>
      </w:pPr>
      <w:bookmarkStart w:id="31" w:name="_Hlk69989393"/>
      <w:bookmarkEnd w:id="31"/>
      <w:r>
        <w:rPr>
          <w:rFonts w:cs="Calibri" w:cstheme="minorHAnsi"/>
        </w:rPr>
        <w:t xml:space="preserve">Nově vybudované příčky jsou navrženy ze systémových CW/UW profilů se sádrokartónovým obkladem. 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Mezibytové příčky: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Dvojitě opláštěné sádrokartónové příčky tl. 155 mm, dvojitá nosná kce z 2 x CW/UW profilů tl. 50 mm + těsnění mezi profily, vyplněno akustickou izolací tl. 2 x 50 mm, oboustranné opláštění protipožárními SDK deskami, veškeré konstrukcece opatřeny disperzním nátěrem včetně penetrace, opláštění v koupelně - protipožání impregnované desky, stupeň tmelení Q2, pod obklady a za linkou stupeň tmelení Q1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Ostatní příčky: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Jednoduše opláštěné sádrokartónové příčky tl. 100 mm, nosná kce z CW/UW profilů tl. 75 mm, vyplněno akustickou izolací tl. 60 mm, oboustranné opláštění bílými sdk deskami, veškeré kce opatřeny disperzním nátěrem včetně penetrace, opláštění v koupelně - impregnované (zelené) desky, stupeň tmelení Q2, pod obklady stupeň tmelení Q1</w:t>
      </w:r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32" w:name="_Hlk69989393"/>
      <w:bookmarkStart w:id="33" w:name="_Toc39728723"/>
      <w:bookmarkEnd w:id="32"/>
      <w:r>
        <w:rPr>
          <w:rFonts w:cs="Calibri" w:cstheme="minorHAnsi"/>
          <w:sz w:val="24"/>
        </w:rPr>
        <w:t>2.3 Konstrukce montované - předstěny</w:t>
      </w:r>
      <w:bookmarkEnd w:id="33"/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 xml:space="preserve">Instalační předstěny pro zabudování WC jsou navrženy jako montované ze systémových pozinkovaných profilů se sádrokartónovým obkladem (zelené impregnované desky).  </w:t>
      </w:r>
    </w:p>
    <w:p>
      <w:pPr>
        <w:pStyle w:val="Nadpis2"/>
        <w:spacing w:lineRule="auto" w:line="240"/>
        <w:rPr>
          <w:rFonts w:cs="Calibri" w:cstheme="minorHAnsi"/>
        </w:rPr>
      </w:pPr>
      <w:bookmarkStart w:id="34" w:name="_Toc39728724"/>
      <w:bookmarkStart w:id="35" w:name="_Toc528151827"/>
      <w:bookmarkStart w:id="36" w:name="_Toc440230514"/>
      <w:r>
        <w:rPr>
          <w:rFonts w:cs="Calibri" w:cstheme="minorHAnsi"/>
        </w:rPr>
        <w:t>3. Úpravy povrchu</w:t>
      </w:r>
      <w:bookmarkEnd w:id="34"/>
      <w:bookmarkEnd w:id="35"/>
      <w:bookmarkEnd w:id="36"/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37" w:name="_Toc39728725"/>
      <w:bookmarkStart w:id="38" w:name="_Toc528151828"/>
      <w:bookmarkStart w:id="39" w:name="_Toc440230515"/>
      <w:r>
        <w:rPr>
          <w:rFonts w:cs="Calibri" w:cstheme="minorHAnsi"/>
          <w:sz w:val="24"/>
        </w:rPr>
        <w:t>3.1 Omítky</w:t>
      </w:r>
      <w:bookmarkEnd w:id="39"/>
      <w:r>
        <w:rPr>
          <w:rFonts w:cs="Calibri" w:cstheme="minorHAnsi"/>
          <w:sz w:val="24"/>
        </w:rPr>
        <w:t xml:space="preserve"> vnitřní</w:t>
      </w:r>
      <w:bookmarkEnd w:id="37"/>
      <w:bookmarkEnd w:id="38"/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Na nové zděné konstrukce a na místa dotčená odstraněním nesoudržných omítek jsou navrženy jádrové vápenocementové omítky, provedené na cementový přednástřik.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Všechny plochy stěn a stropů budou omítnuty novou štukovou vápenocementovou omítkou. Omítka bude provedena na podklad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z nové jádrové omítky opatřené vhodnou penetrací pro štukové VC omítky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ze staré dobře soudržné štukové omítky s oškrabanými nátěry opatřené adhézním můstkem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ze staré špatně soudržné štukové omítky, která bude opatřena vrstvou cementového lepidla, vyztuženého armovací tkaninou, opatřeného penetrací, před natažením lepidla omítku napenetrovat vhodnou penetrací na cementová lepidla</w:t>
      </w:r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40" w:name="_Toc39728726"/>
      <w:bookmarkStart w:id="41" w:name="_Toc528151829"/>
      <w:bookmarkStart w:id="42" w:name="_Toc440230516"/>
      <w:r>
        <w:rPr>
          <w:rFonts w:cs="Calibri" w:cstheme="minorHAnsi"/>
          <w:sz w:val="24"/>
        </w:rPr>
        <w:t>3.2 Malby</w:t>
      </w:r>
      <w:bookmarkEnd w:id="40"/>
      <w:bookmarkEnd w:id="41"/>
      <w:bookmarkEnd w:id="42"/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>Omítnuté konstrukce a SDK konstrukce budou opatřeny disperzním nátěrem v barvě dle přání investora.</w:t>
      </w:r>
    </w:p>
    <w:p>
      <w:pPr>
        <w:pStyle w:val="Nadpis2"/>
        <w:spacing w:lineRule="auto" w:line="240"/>
        <w:rPr>
          <w:rFonts w:cs="Calibri" w:cstheme="minorHAnsi"/>
          <w:sz w:val="24"/>
        </w:rPr>
      </w:pPr>
      <w:bookmarkStart w:id="43" w:name="_Toc39728727"/>
      <w:bookmarkStart w:id="44" w:name="_Toc528151830"/>
      <w:bookmarkStart w:id="45" w:name="_Toc440230517"/>
      <w:r>
        <w:rPr>
          <w:rFonts w:cs="Calibri" w:cstheme="minorHAnsi"/>
          <w:sz w:val="24"/>
        </w:rPr>
        <w:t>3.3 Obklady</w:t>
      </w:r>
      <w:bookmarkEnd w:id="43"/>
      <w:bookmarkEnd w:id="44"/>
      <w:bookmarkEnd w:id="45"/>
    </w:p>
    <w:p>
      <w:pPr>
        <w:pStyle w:val="Normal"/>
        <w:spacing w:before="0" w:after="0"/>
        <w:rPr/>
      </w:pPr>
      <w:r>
        <w:rPr>
          <w:rFonts w:cs="Calibri" w:cstheme="minorHAnsi"/>
        </w:rPr>
        <w:t xml:space="preserve">V koupelnách je navržen keramický obklad do výšky dveřního křídla cca 2,0 m. </w:t>
      </w:r>
      <w:r>
        <w:rPr/>
        <w:t xml:space="preserve">V místě kuchyňské linky je navržen keramický obklad od výšky cca 0,8 m od čisté podlahy, výška obkladu je navržena cca 0,6 m. Konkrétní typ obkladů bude upřesněn po dohodě s investorem. </w:t>
      </w:r>
    </w:p>
    <w:p>
      <w:pPr>
        <w:pStyle w:val="Normal"/>
        <w:spacing w:before="0" w:after="0"/>
        <w:rPr/>
      </w:pPr>
      <w:r>
        <w:rPr/>
        <w:t>Před provedením obkladů v místnostech vystavených vlhku (koupelny) bude podklad opatřen hydroizolační stěrkou s vhodnou penetrací.</w:t>
      </w:r>
    </w:p>
    <w:p>
      <w:pPr>
        <w:pStyle w:val="Normal"/>
        <w:spacing w:lineRule="auto" w:line="24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adpis2"/>
        <w:spacing w:lineRule="auto" w:line="240"/>
        <w:rPr>
          <w:rFonts w:cs="Calibri" w:cstheme="minorHAnsi"/>
        </w:rPr>
      </w:pPr>
      <w:bookmarkStart w:id="46" w:name="_Toc39728728"/>
      <w:bookmarkStart w:id="47" w:name="_Toc528151831"/>
      <w:bookmarkStart w:id="48" w:name="_Toc440230518"/>
      <w:r>
        <w:rPr>
          <w:rFonts w:cs="Calibri" w:cstheme="minorHAnsi"/>
        </w:rPr>
        <w:t>4. Podlahy</w:t>
      </w:r>
      <w:bookmarkEnd w:id="46"/>
      <w:bookmarkEnd w:id="47"/>
      <w:bookmarkEnd w:id="48"/>
    </w:p>
    <w:p>
      <w:pPr>
        <w:pStyle w:val="Normal"/>
        <w:spacing w:before="0" w:after="0"/>
        <w:rPr/>
      </w:pPr>
      <w:bookmarkStart w:id="49" w:name="_Toc528151834"/>
      <w:bookmarkStart w:id="50" w:name="_Toc440230522"/>
      <w:r>
        <w:rPr/>
        <w:t>Při pokládce podlah je třeba se řídit příslušnými normami, zejména pak ČSN 74 4505 (podlahy, společná ustanovení) a DIN 18 356 (podlahářské práce).</w:t>
      </w:r>
    </w:p>
    <w:p>
      <w:pPr>
        <w:pStyle w:val="Nadpis2"/>
        <w:rPr>
          <w:sz w:val="24"/>
        </w:rPr>
      </w:pPr>
      <w:bookmarkStart w:id="51" w:name="_Toc39728729"/>
      <w:bookmarkStart w:id="52" w:name="_Toc29301680"/>
      <w:bookmarkStart w:id="53" w:name="_Toc482180311"/>
      <w:r>
        <w:rPr>
          <w:sz w:val="24"/>
        </w:rPr>
        <w:t>4.1 Nášlapná vrstva</w:t>
      </w:r>
      <w:bookmarkEnd w:id="51"/>
      <w:bookmarkEnd w:id="52"/>
      <w:bookmarkEnd w:id="53"/>
    </w:p>
    <w:p>
      <w:pPr>
        <w:pStyle w:val="Normal"/>
        <w:spacing w:before="0" w:after="0"/>
        <w:rPr/>
      </w:pPr>
      <w:r>
        <w:rPr/>
        <w:t>Nášlapné vrstvy jsou voleny s ohledem na přání investora. Jsou navrženy z keramické dlažby, laminátové podlahy a repase původní vlysové podlahy. Vzniklá mezera u stěn se zakryje odpovídajícím prvkem. Změna nášlapných vrstev provedena v místě dveřního křídla hliníkovým krycím prvkem. Konkrétní typ a barevnost se upřesní dle přání investora.</w:t>
      </w:r>
      <w:bookmarkStart w:id="54" w:name="page9"/>
      <w:bookmarkEnd w:id="54"/>
      <w:r>
        <w:rPr/>
        <w:t xml:space="preserve"> </w:t>
      </w:r>
    </w:p>
    <w:p>
      <w:pPr>
        <w:pStyle w:val="Normal"/>
        <w:spacing w:before="0" w:after="0"/>
        <w:rPr/>
      </w:pPr>
      <w:r>
        <w:rPr/>
        <w:t xml:space="preserve">Podklad ( </w:t>
      </w:r>
      <w:r>
        <w:rPr/>
        <w:t xml:space="preserve">nová </w:t>
      </w:r>
      <w:r>
        <w:rPr/>
        <w:t>betonová mazanina) bude u všech podlah vyrovnán pomocí samonivelační stěrky o tl. 1 – 10 mm. Před realizací samonivelační stěrky bude podklad napenetrován vhodnou penetrací.</w:t>
      </w:r>
    </w:p>
    <w:p>
      <w:pPr>
        <w:pStyle w:val="Normal"/>
        <w:spacing w:before="0" w:after="0"/>
        <w:rPr/>
      </w:pPr>
      <w:r>
        <w:rPr/>
        <w:t>Nášlapné vrstvy podlah v místnostech vystavených vlhku (koupelny) budou opatřena hydroizolační stěrkou s vhodnou penetrací.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Vlysová podlaha v pokoji – předpokládá se repase původních vlysů. U vlysů budou vyspraveny spáry, přebroušeny a následně nalakovány.</w:t>
      </w:r>
    </w:p>
    <w:p>
      <w:pPr>
        <w:pStyle w:val="Normal"/>
        <w:spacing w:before="0" w:after="0"/>
        <w:rPr/>
      </w:pPr>
      <w:r>
        <w:rPr/>
        <w:t>V případě nemožnosti použití vlysů, bude skladba vybourána až na betonovou mazaninu, skladba podlahy dobetonována na úroveň ostatních betonových mazanin, tak aby mohlo dojít ke sjednocení výšek podlah ve všech místnostech. A poté bude provedena laminátová podlaha obdobně jako v ostatních místnostech.</w:t>
      </w:r>
    </w:p>
    <w:p>
      <w:pPr>
        <w:pStyle w:val="Nadpis2"/>
        <w:spacing w:lineRule="auto" w:line="24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adpis2"/>
        <w:spacing w:lineRule="auto" w:line="240"/>
        <w:rPr>
          <w:rFonts w:cs="Calibri" w:cstheme="minorHAnsi"/>
        </w:rPr>
      </w:pPr>
      <w:bookmarkStart w:id="55" w:name="_Toc440230522"/>
      <w:bookmarkStart w:id="56" w:name="_Toc39728730"/>
      <w:r>
        <w:rPr>
          <w:rFonts w:cs="Calibri" w:cstheme="minorHAnsi"/>
        </w:rPr>
        <w:t>5. Izolace tepelné</w:t>
      </w:r>
      <w:bookmarkEnd w:id="55"/>
      <w:r>
        <w:rPr>
          <w:rFonts w:cs="Calibri" w:cstheme="minorHAnsi"/>
        </w:rPr>
        <w:t>/akustické</w:t>
      </w:r>
      <w:bookmarkEnd w:id="49"/>
      <w:bookmarkEnd w:id="56"/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Do sádrokartónových mezibytových příček je navržena akustická izolace ve formě rolí z minerální vaty určená do lehkých montovaných příček, např. ISOVER PIANO. Mezibytové příčky budou řešeny, tak aby bylo na stavbě dosaženo všech hodnot požadovaných v  ČSN 73 0532.</w:t>
      </w:r>
    </w:p>
    <w:p>
      <w:pPr>
        <w:pStyle w:val="Nadpis2"/>
        <w:spacing w:lineRule="auto" w:line="240"/>
        <w:rPr>
          <w:rFonts w:cs="Calibri" w:cstheme="minorHAnsi"/>
        </w:rPr>
      </w:pPr>
      <w:bookmarkStart w:id="57" w:name="_Toc39728731"/>
      <w:bookmarkStart w:id="58" w:name="_Toc528151835"/>
      <w:r>
        <w:rPr>
          <w:rFonts w:cs="Calibri" w:cstheme="minorHAnsi"/>
        </w:rPr>
        <w:t>6. Ostatní konstrukce a úpravy</w:t>
      </w:r>
      <w:bookmarkEnd w:id="57"/>
      <w:bookmarkEnd w:id="58"/>
    </w:p>
    <w:p>
      <w:pPr>
        <w:pStyle w:val="Normal"/>
        <w:widowControl w:val="false"/>
        <w:overflowPunct w:val="true"/>
        <w:spacing w:lineRule="auto" w:line="240"/>
        <w:rPr>
          <w:rFonts w:cs="Calibri" w:cstheme="minorHAnsi"/>
        </w:rPr>
      </w:pPr>
      <w:r>
        <w:rPr>
          <w:rFonts w:cs="Calibri" w:cstheme="minorHAnsi"/>
        </w:rPr>
        <w:t xml:space="preserve">Je navržena repase stávajících dřevěných zárubní a dveří, vnitřních částí oken a parapetů. </w:t>
      </w:r>
    </w:p>
    <w:p>
      <w:pPr>
        <w:pStyle w:val="Normal"/>
        <w:widowControl w:val="false"/>
        <w:overflowPunct w:val="true"/>
        <w:spacing w:lineRule="auto" w:line="240"/>
        <w:rPr>
          <w:rFonts w:cs="Calibri" w:cstheme="minorHAnsi"/>
          <w:szCs w:val="26"/>
        </w:rPr>
      </w:pPr>
      <w:r>
        <w:rPr>
          <w:rFonts w:cs="Calibri" w:cstheme="minorHAnsi"/>
          <w:szCs w:val="26"/>
        </w:rPr>
      </w:r>
    </w:p>
    <w:p>
      <w:pPr>
        <w:pStyle w:val="Nadpis1"/>
        <w:spacing w:lineRule="auto" w:line="240"/>
        <w:rPr>
          <w:rFonts w:cs="Calibri" w:cstheme="minorHAnsi"/>
        </w:rPr>
      </w:pPr>
      <w:bookmarkStart w:id="59" w:name="_Toc39728732"/>
      <w:bookmarkStart w:id="60" w:name="_Toc528151836"/>
      <w:bookmarkStart w:id="61" w:name="_Toc440230539"/>
      <w:r>
        <w:rPr>
          <w:rFonts w:cs="Calibri" w:cstheme="minorHAnsi"/>
        </w:rPr>
        <w:t>D.1.1.5 Dodržení všeobecných požadavek na výstavbu</w:t>
      </w:r>
      <w:bookmarkEnd w:id="59"/>
      <w:bookmarkEnd w:id="60"/>
      <w:bookmarkEnd w:id="61"/>
      <w:r>
        <w:rPr>
          <w:rFonts w:cs="Calibri" w:cstheme="minorHAnsi"/>
        </w:rPr>
        <w:tab/>
      </w:r>
    </w:p>
    <w:p>
      <w:pPr>
        <w:pStyle w:val="Normal"/>
        <w:spacing w:lineRule="auto" w:line="276"/>
        <w:rPr/>
      </w:pPr>
      <w:r>
        <w:rPr/>
        <w:t xml:space="preserve">Navržena stavba je v souladu s vyhláškou č. 268/2009 Sb. O technických požadavcích na stavby. Projektová dokumentace je určena pro stavební a územní řízení. Za škody způsobené nevhodným použitím projektové dokumentace nenese zhotovitel odpovědnost. Je doporučeno provést dokumentaci pro provedení stavby. </w:t>
      </w:r>
    </w:p>
    <w:p>
      <w:pPr>
        <w:pStyle w:val="Normal"/>
        <w:spacing w:lineRule="auto" w:line="240" w:before="0" w:after="160"/>
        <w:rPr>
          <w:rFonts w:cs="Calibri" w:cstheme="minorHAnsi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1418" w:header="709" w:top="1871" w:footer="737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witzerlandCondense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57767262"/>
    </w:sdtPr>
    <w:sdtContent>
      <w:p>
        <w:pPr>
          <w:pStyle w:val="Normal"/>
          <w:jc w:val="center"/>
          <w:rPr/>
        </w:pPr>
        <w:r>
          <w:rPr/>
          <w:t xml:space="preserve">Stránka </w:t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  <w:r>
          <w:rPr/>
          <w:t xml:space="preserve"> z </w:t>
        </w:r>
        <w:r>
          <w:rPr/>
          <w:fldChar w:fldCharType="begin"/>
        </w:r>
        <w:r>
          <w:rPr/>
          <w:instrText> NUMPAGES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>
        <w:sz w:val="16"/>
        <w:szCs w:val="16"/>
      </w:rPr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0</wp:posOffset>
          </wp:positionH>
          <wp:positionV relativeFrom="paragraph">
            <wp:posOffset>-290830</wp:posOffset>
          </wp:positionV>
          <wp:extent cx="2126615" cy="995045"/>
          <wp:effectExtent l="0" t="0" r="0" b="0"/>
          <wp:wrapNone/>
          <wp:docPr id="2" name="Obrázok 3" descr="logofinal kriv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3" descr="logofinal krivk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7604" t="32635" r="30581" b="53449"/>
                  <a:stretch>
                    <a:fillRect/>
                  </a:stretch>
                </pic:blipFill>
                <pic:spPr bwMode="auto">
                  <a:xfrm>
                    <a:off x="0" y="0"/>
                    <a:ext cx="2126615" cy="995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/>
      <w:tab/>
    </w:r>
    <w:r>
      <w:rPr>
        <w:sz w:val="16"/>
        <w:szCs w:val="16"/>
      </w:rPr>
      <w:t>Dokumentace pro stavební povolení</w:t>
    </w:r>
  </w:p>
  <w:p>
    <w:pPr>
      <w:pStyle w:val="Zhlav"/>
      <w:rPr>
        <w:sz w:val="16"/>
        <w:szCs w:val="16"/>
      </w:rPr>
    </w:pPr>
    <w:r>
      <w:rPr>
        <w:sz w:val="16"/>
        <w:szCs w:val="16"/>
      </w:rPr>
      <w:tab/>
      <w:tab/>
    </w:r>
    <w:r>
      <w:rPr>
        <w:b/>
        <w:sz w:val="16"/>
        <w:szCs w:val="16"/>
      </w:rPr>
      <w:t>Technická zpráva</w:t>
    </w:r>
  </w:p>
  <w:p>
    <w:pPr>
      <w:pStyle w:val="Zhlav"/>
      <w:rPr>
        <w:sz w:val="16"/>
        <w:szCs w:val="16"/>
      </w:rPr>
    </w:pPr>
    <w:r>
      <w:rPr>
        <w:sz w:val="16"/>
        <w:szCs w:val="16"/>
      </w:rPr>
      <w:tab/>
      <w:tab/>
      <w:t>Rekonstrukce bytové jednotky</w:t>
    </w:r>
  </w:p>
  <w:p>
    <w:pPr>
      <w:pStyle w:val="Zhlav"/>
      <w:rPr>
        <w:sz w:val="16"/>
        <w:szCs w:val="16"/>
      </w:rPr>
    </w:pPr>
    <w:r>
      <w:rPr>
        <w:sz w:val="16"/>
        <w:szCs w:val="16"/>
      </w:rPr>
      <w:tab/>
      <w:tab/>
      <w:t>na adrese Zemědělská 124, 664 63 Žabčice</w:t>
      <w:tab/>
      <w:tab/>
      <w:tab/>
    </w:r>
  </w:p>
  <w:p>
    <w:pPr>
      <w:pStyle w:val="Zhlav"/>
      <w:rPr>
        <w:sz w:val="16"/>
        <w:szCs w:val="16"/>
      </w:rPr>
    </w:pPr>
    <w:r>
      <w:rPr>
        <w:u w:val="single"/>
      </w:rPr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k-SK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0815"/>
    <w:pPr>
      <w:widowControl/>
      <w:bidi w:val="0"/>
      <w:spacing w:lineRule="auto" w:line="259" w:before="0" w:after="16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0e0815"/>
    <w:pPr>
      <w:keepNext w:val="true"/>
      <w:keepLines/>
      <w:spacing w:before="240" w:after="120"/>
      <w:outlineLvl w:val="0"/>
    </w:pPr>
    <w:rPr>
      <w:rFonts w:eastAsia="" w:cs="" w:cstheme="majorBidi" w:eastAsiaTheme="majorEastAsia"/>
      <w:b/>
      <w:sz w:val="32"/>
      <w:szCs w:val="32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1c35dc"/>
    <w:pPr>
      <w:keepNext w:val="true"/>
      <w:keepLines/>
      <w:spacing w:before="120" w:after="120"/>
      <w:outlineLvl w:val="1"/>
    </w:pPr>
    <w:rPr>
      <w:rFonts w:eastAsia="" w:cs="" w:cstheme="majorBidi" w:eastAsiaTheme="majorEastAsia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f00bc"/>
    <w:rPr/>
  </w:style>
  <w:style w:type="character" w:styleId="ZpatChar" w:customStyle="1">
    <w:name w:val="Zápatí Char"/>
    <w:basedOn w:val="DefaultParagraphFont"/>
    <w:link w:val="Zpat"/>
    <w:uiPriority w:val="99"/>
    <w:qFormat/>
    <w:rsid w:val="00af00bc"/>
    <w:rPr/>
  </w:style>
  <w:style w:type="character" w:styleId="Internetovodkaz">
    <w:name w:val="Internetový odkaz"/>
    <w:basedOn w:val="DefaultParagraphFont"/>
    <w:uiPriority w:val="99"/>
    <w:unhideWhenUsed/>
    <w:rsid w:val="000413e8"/>
    <w:rPr>
      <w:color w:val="0563C1" w:themeColor="hyperlink"/>
      <w:u w:val="single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0e0815"/>
    <w:rPr>
      <w:rFonts w:eastAsia="" w:cs="" w:cstheme="majorBidi" w:eastAsiaTheme="majorEastAsia"/>
      <w:b/>
      <w:sz w:val="32"/>
      <w:szCs w:val="32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1c35dc"/>
    <w:rPr>
      <w:rFonts w:eastAsia="" w:cs="" w:cstheme="majorBidi" w:eastAsiaTheme="majorEastAsia"/>
      <w:b/>
      <w:sz w:val="28"/>
      <w:szCs w:val="26"/>
    </w:rPr>
  </w:style>
  <w:style w:type="character" w:styleId="FormtovanvHTMLChar" w:customStyle="1">
    <w:name w:val="Formátovaný v HTML Char"/>
    <w:basedOn w:val="DefaultParagraphFont"/>
    <w:link w:val="FormtovanvHTML"/>
    <w:qFormat/>
    <w:rsid w:val="00231ed9"/>
    <w:rPr>
      <w:rFonts w:ascii="Courier New" w:hAnsi="Courier New" w:eastAsia="Times New Roman" w:cs="Courier New"/>
      <w:color w:val="00000A"/>
      <w:kern w:val="2"/>
      <w:sz w:val="20"/>
      <w:szCs w:val="20"/>
      <w:lang w:val="cs-CZ" w:eastAsia="zh-CN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213d05"/>
    <w:rPr>
      <w:rFonts w:ascii="Tahoma" w:hAnsi="Tahoma" w:cs="Tahoma"/>
      <w:sz w:val="16"/>
      <w:szCs w:val="16"/>
    </w:rPr>
  </w:style>
  <w:style w:type="character" w:styleId="NormalntextChar1" w:customStyle="1">
    <w:name w:val="Normalní text Char1"/>
    <w:link w:val="Normalntext"/>
    <w:qFormat/>
    <w:locked/>
    <w:rsid w:val="00ab6810"/>
    <w:rPr>
      <w:rFonts w:ascii="Arial" w:hAnsi="Arial" w:cs="Arial"/>
      <w:sz w:val="24"/>
    </w:rPr>
  </w:style>
  <w:style w:type="character" w:styleId="ZkladntextChar" w:customStyle="1">
    <w:name w:val="Základní text Char"/>
    <w:basedOn w:val="DefaultParagraphFont"/>
    <w:link w:val="Zkladntext"/>
    <w:qFormat/>
    <w:rsid w:val="001c0b59"/>
    <w:rPr>
      <w:rFonts w:ascii="Arial" w:hAnsi="Arial" w:eastAsia="Times New Roman" w:cs="Times New Roman"/>
      <w:color w:val="000000"/>
      <w:sz w:val="20"/>
      <w:szCs w:val="20"/>
      <w:lang w:val="cs-CZ" w:eastAsia="cs-CZ"/>
    </w:rPr>
  </w:style>
  <w:style w:type="character" w:styleId="Odkaznarejstk">
    <w:name w:val="Odkaz na rejstřík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rsid w:val="001c0b59"/>
    <w:pPr>
      <w:widowControl w:val="false"/>
      <w:spacing w:lineRule="auto" w:line="240" w:before="0" w:after="0"/>
    </w:pPr>
    <w:rPr>
      <w:rFonts w:ascii="Arial" w:hAnsi="Arial" w:eastAsia="Times New Roman" w:cs="Times New Roman"/>
      <w:color w:val="000000"/>
      <w:sz w:val="20"/>
      <w:szCs w:val="20"/>
      <w:lang w:eastAsia="cs-CZ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f00bc"/>
    <w:pPr>
      <w:spacing w:before="0" w:after="160"/>
      <w:ind w:left="720" w:hanging="0"/>
      <w:contextualSpacing/>
    </w:pPr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af00b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af00b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OCHeading">
    <w:name w:val="TOC Heading"/>
    <w:basedOn w:val="Nadpis1"/>
    <w:next w:val="Normal"/>
    <w:uiPriority w:val="39"/>
    <w:unhideWhenUsed/>
    <w:qFormat/>
    <w:rsid w:val="004153f5"/>
    <w:pPr>
      <w:spacing w:before="240" w:after="0"/>
      <w:jc w:val="left"/>
    </w:pPr>
    <w:rPr>
      <w:rFonts w:ascii="Calibri Light" w:hAnsi="Calibri Light" w:asciiTheme="majorHAnsi" w:hAnsiTheme="majorHAnsi"/>
      <w:b w:val="false"/>
      <w:color w:val="2E74B5" w:themeColor="accent1" w:themeShade="bf"/>
      <w:lang w:eastAsia="sk-SK"/>
    </w:rPr>
  </w:style>
  <w:style w:type="paragraph" w:styleId="Obsah1">
    <w:name w:val="TOC 1"/>
    <w:basedOn w:val="Normal"/>
    <w:next w:val="Normal"/>
    <w:autoRedefine/>
    <w:uiPriority w:val="39"/>
    <w:unhideWhenUsed/>
    <w:rsid w:val="004153f5"/>
    <w:pPr>
      <w:spacing w:before="0" w:after="100"/>
    </w:pPr>
    <w:rPr/>
  </w:style>
  <w:style w:type="paragraph" w:styleId="Obsah2">
    <w:name w:val="TOC 2"/>
    <w:basedOn w:val="Normal"/>
    <w:next w:val="Normal"/>
    <w:autoRedefine/>
    <w:uiPriority w:val="39"/>
    <w:unhideWhenUsed/>
    <w:rsid w:val="004153f5"/>
    <w:pPr>
      <w:spacing w:before="0" w:after="100"/>
      <w:ind w:left="240" w:hanging="0"/>
    </w:pPr>
    <w:rPr/>
  </w:style>
  <w:style w:type="paragraph" w:styleId="Standard" w:customStyle="1">
    <w:name w:val="Standard"/>
    <w:qFormat/>
    <w:rsid w:val="006a2620"/>
    <w:pPr>
      <w:widowControl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val="cs-CZ" w:eastAsia="cs-CZ" w:bidi="ar-SA"/>
    </w:rPr>
  </w:style>
  <w:style w:type="paragraph" w:styleId="Obsahtabulky" w:customStyle="1">
    <w:name w:val="Obsah tabulky"/>
    <w:basedOn w:val="Normal"/>
    <w:qFormat/>
    <w:rsid w:val="006a2620"/>
    <w:pPr>
      <w:suppressLineNumbers/>
      <w:suppressAutoHyphens w:val="true"/>
      <w:spacing w:lineRule="atLeast" w:line="100" w:before="0" w:after="12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0"/>
      <w:lang w:eastAsia="cs-CZ"/>
    </w:rPr>
  </w:style>
  <w:style w:type="paragraph" w:styleId="Textbody" w:customStyle="1">
    <w:name w:val="Text body"/>
    <w:basedOn w:val="Standard"/>
    <w:qFormat/>
    <w:rsid w:val="006a2620"/>
    <w:pPr>
      <w:spacing w:before="0" w:after="120"/>
      <w:jc w:val="both"/>
    </w:pPr>
    <w:rPr>
      <w:rFonts w:ascii="SwitzerlandCondensed," w:hAnsi="SwitzerlandCondensed,"/>
      <w:color w:val="000000"/>
    </w:rPr>
  </w:style>
  <w:style w:type="paragraph" w:styleId="HTMLPreformatted">
    <w:name w:val="HTML Preformatted"/>
    <w:basedOn w:val="Standard"/>
    <w:link w:val="FormtovanvHTMLChar"/>
    <w:qFormat/>
    <w:rsid w:val="00231ed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textAlignment w:val="auto"/>
    </w:pPr>
    <w:rPr>
      <w:rFonts w:ascii="Courier New" w:hAnsi="Courier New" w:cs="Courier New"/>
      <w:lang w:eastAsia="zh-CN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13d0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7325a"/>
    <w:pPr>
      <w:widowControl/>
      <w:bidi w:val="0"/>
      <w:spacing w:lineRule="auto" w:line="240"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sk-SK" w:eastAsia="en-US" w:bidi="ar-SA"/>
    </w:rPr>
  </w:style>
  <w:style w:type="paragraph" w:styleId="Pedformtovantext" w:customStyle="1">
    <w:name w:val="Předformátovaný text"/>
    <w:basedOn w:val="Normal"/>
    <w:qFormat/>
    <w:rsid w:val="00b72d8e"/>
    <w:pPr>
      <w:suppressAutoHyphens w:val="true"/>
      <w:spacing w:lineRule="atLeast" w:line="360"/>
      <w:textAlignment w:val="baseline"/>
    </w:pPr>
    <w:rPr>
      <w:rFonts w:ascii="Courier New" w:hAnsi="Courier New" w:eastAsia="NSimSun" w:cs="Courier New"/>
      <w:color w:val="00000A"/>
      <w:sz w:val="20"/>
      <w:szCs w:val="20"/>
      <w:lang w:eastAsia="cs-CZ"/>
    </w:rPr>
  </w:style>
  <w:style w:type="paragraph" w:styleId="Vchozstyl" w:customStyle="1">
    <w:name w:val="Výchozí styl"/>
    <w:qFormat/>
    <w:rsid w:val="00e03def"/>
    <w:pPr>
      <w:widowControl/>
      <w:suppressAutoHyphens w:val="true"/>
      <w:bidi w:val="0"/>
      <w:spacing w:lineRule="atLeast" w:line="360" w:before="0" w:after="16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cs-CZ" w:eastAsia="zh-CN" w:bidi="ar-SA"/>
    </w:rPr>
  </w:style>
  <w:style w:type="paragraph" w:styleId="Normalntext" w:customStyle="1">
    <w:name w:val="Normalní text"/>
    <w:link w:val="NormalntextChar1"/>
    <w:qFormat/>
    <w:rsid w:val="00ab6810"/>
    <w:pPr>
      <w:widowControl/>
      <w:suppressAutoHyphens w:val="true"/>
      <w:bidi w:val="0"/>
      <w:spacing w:lineRule="auto" w:line="240" w:before="120" w:after="0"/>
      <w:ind w:left="851" w:hanging="0"/>
      <w:jc w:val="both"/>
    </w:pPr>
    <w:rPr>
      <w:rFonts w:ascii="Arial" w:hAnsi="Arial" w:cs="Arial" w:eastAsia="Calibri" w:eastAsiaTheme="minorHAnsi"/>
      <w:color w:val="auto"/>
      <w:kern w:val="0"/>
      <w:sz w:val="24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7C03-672B-4875-A016-076EA088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Application>LibreOffice/7.0.6.2$Windows_X86_64 LibreOffice_project/144abb84a525d8e30c9dbbefa69cbbf2d8d4ae3b</Application>
  <AppVersion>15.0000</AppVersion>
  <Pages>8</Pages>
  <Words>1651</Words>
  <Characters>9865</Characters>
  <CharactersWithSpaces>11450</CharactersWithSpaces>
  <Paragraphs>139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2015-10-31T14:35:00Z</dcterms:created>
  <dc:creator>steff</dc:creator>
  <dc:description/>
  <dc:language>cs-CZ</dc:language>
  <cp:lastModifiedBy/>
  <cp:lastPrinted>2019-12-17T08:57:00Z</cp:lastPrinted>
  <dcterms:modified xsi:type="dcterms:W3CDTF">2023-02-02T14:01:55Z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